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355CEC" w14:textId="77777777" w:rsidR="004B3EB4" w:rsidRDefault="004B3EB4" w:rsidP="004B3EB4">
      <w:pPr>
        <w:jc w:val="center"/>
        <w:rPr>
          <w:sz w:val="24"/>
          <w:szCs w:val="22"/>
          <w:rFonts w:ascii="Times New Roman" w:hAnsi="Times New Roman"/>
        </w:rPr>
      </w:pPr>
      <w:bookmarkStart w:id="0" w:name="_Toc360188413"/>
      <w:bookmarkStart w:id="1" w:name="_Toc473561053"/>
      <w:bookmarkStart w:id="2" w:name="_Toc117766050"/>
      <w:r>
        <w:rPr>
          <w:sz w:val="24"/>
          <w:rFonts w:ascii="Times New Roman" w:hAnsi="Times New Roman"/>
        </w:rPr>
        <w:t xml:space="preserve">MT</w:t>
      </w:r>
    </w:p>
    <w:p w14:paraId="673AA6A5" w14:textId="77777777" w:rsidR="004B3EB4" w:rsidRDefault="004B3EB4" w:rsidP="004B3EB4">
      <w:pPr>
        <w:rPr>
          <w:rFonts w:asciiTheme="minorHAnsi" w:hAnsiTheme="minorHAnsi"/>
          <w:sz w:val="22"/>
        </w:rPr>
      </w:pPr>
    </w:p>
    <w:p w14:paraId="714F1821" w14:textId="77777777" w:rsidR="009A273F" w:rsidRPr="00037E7B" w:rsidRDefault="009A273F" w:rsidP="009A273F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ANNESS II</w:t>
      </w:r>
    </w:p>
    <w:p w14:paraId="025DAC25" w14:textId="77777777" w:rsidR="009A273F" w:rsidRPr="00037E7B" w:rsidRDefault="009A273F" w:rsidP="009A273F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“ANNESS II</w:t>
      </w:r>
    </w:p>
    <w:p w14:paraId="5EA1A82F" w14:textId="77777777" w:rsidR="009A273F" w:rsidRPr="00037E7B" w:rsidRDefault="009A273F" w:rsidP="009A273F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STRUZZJONIJIET DWAR IR-RAPPORTAR DWAR FONDI PROPRJI U DWAR REKWIŻITI TA’ FONDI PROPRJI</w:t>
      </w:r>
    </w:p>
    <w:p w14:paraId="7ABDFB60" w14:textId="77777777" w:rsidR="009A273F" w:rsidRDefault="009A273F" w:rsidP="009A273F"/>
    <w:p w14:paraId="65617CB9" w14:textId="77777777" w:rsidR="009A273F" w:rsidRDefault="009A273F" w:rsidP="009A273F">
      <w:pPr>
        <w:spacing w:before="0" w:after="0"/>
        <w:jc w:val="left"/>
        <w:rPr>
          <w:rStyle w:val="InstructionsTabelleText"/>
          <w:b/>
          <w:bCs/>
          <w:sz w:val="24"/>
          <w:u w:val="single"/>
          <w:rFonts w:ascii="Times New Roman" w:hAnsi="Times New Roman"/>
        </w:rPr>
      </w:pP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PARTI II: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 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STRUZZJONIJIET RELATATI MAL-FORMOLI</w:t>
      </w:r>
    </w:p>
    <w:p w14:paraId="67FA9FF1" w14:textId="77777777" w:rsidR="009A273F" w:rsidRDefault="009A273F" w:rsidP="009A273F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 </w:t>
      </w:r>
    </w:p>
    <w:p w14:paraId="49367E83" w14:textId="77777777" w:rsidR="009A273F" w:rsidRDefault="009A273F" w:rsidP="009A273F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(…)</w:t>
      </w:r>
    </w:p>
    <w:p w14:paraId="07BCB996" w14:textId="77777777" w:rsidR="009A273F" w:rsidRDefault="009A273F" w:rsidP="009A273F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</w:p>
    <w:p w14:paraId="2A449DF9" w14:textId="75B5D8AF" w:rsidR="00DD5030" w:rsidRPr="002A677E" w:rsidRDefault="00606FB5" w:rsidP="009A273F">
      <w:pPr>
        <w:spacing w:before="0" w:after="0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5.8.</w:t>
      </w:r>
      <w:r>
        <w:tab/>
      </w:r>
      <w:r>
        <w:rPr>
          <w:sz w:val="24"/>
          <w:rFonts w:ascii="Times New Roman" w:hAnsi="Times New Roman"/>
        </w:rPr>
        <w:t xml:space="preserve">C 25.01 - RISKJU TA’ AĠĠUSTAMENT TAL-VALWAZZJONI TAL-KREDITU</w:t>
      </w:r>
      <w:bookmarkEnd w:id="0"/>
      <w:r>
        <w:rPr>
          <w:sz w:val="24"/>
          <w:rFonts w:ascii="Times New Roman" w:hAnsi="Times New Roman"/>
        </w:rPr>
        <w:t xml:space="preserve"> (CVA)</w:t>
      </w:r>
      <w:bookmarkEnd w:id="1"/>
      <w:bookmarkEnd w:id="2"/>
    </w:p>
    <w:p w14:paraId="33239E01" w14:textId="77777777" w:rsidR="00606FB5" w:rsidRDefault="00606FB5" w:rsidP="00606FB5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3" w:name="_Toc360188414"/>
      <w:bookmarkStart w:id="4" w:name="_Toc473561054"/>
      <w:bookmarkStart w:id="5" w:name="_Toc117766051"/>
      <w:bookmarkStart w:id="6" w:name="_Toc310008820"/>
      <w:r>
        <w:rPr>
          <w:sz w:val="24"/>
          <w:u w:val="none"/>
          <w:rFonts w:ascii="Times New Roman" w:hAnsi="Times New Roman"/>
        </w:rPr>
        <w:t xml:space="preserve">5.8.1.</w:t>
      </w:r>
      <w:r>
        <w:tab/>
      </w:r>
      <w:r>
        <w:rPr>
          <w:sz w:val="24"/>
          <w:rFonts w:ascii="Times New Roman" w:hAnsi="Times New Roman"/>
        </w:rPr>
        <w:t xml:space="preserve">Struzzjonijiet li jikkonċernaw pożizzjonijiet speċifiċi</w:t>
      </w:r>
      <w:bookmarkEnd w:id="3"/>
      <w:bookmarkEnd w:id="4"/>
      <w:bookmarkEnd w:id="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2"/>
        <w:gridCol w:w="7844"/>
      </w:tblGrid>
      <w:tr w:rsidR="00680687" w:rsidRPr="002A677E" w14:paraId="0110EC19" w14:textId="77777777" w:rsidTr="006A3ADC">
        <w:tc>
          <w:tcPr>
            <w:tcW w:w="9016" w:type="dxa"/>
            <w:gridSpan w:val="2"/>
            <w:shd w:val="clear" w:color="auto" w:fill="CCCCCC"/>
          </w:tcPr>
          <w:p w14:paraId="42563A8C" w14:textId="77777777" w:rsidR="00680687" w:rsidRPr="002A677E" w:rsidRDefault="00680687" w:rsidP="006A3ADC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Kolonni</w:t>
            </w:r>
          </w:p>
        </w:tc>
      </w:tr>
      <w:tr w:rsidR="00680687" w:rsidRPr="002A677E" w14:paraId="22C86396" w14:textId="77777777" w:rsidTr="006A3ADC">
        <w:tc>
          <w:tcPr>
            <w:tcW w:w="1172" w:type="dxa"/>
          </w:tcPr>
          <w:p w14:paraId="013E2964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7844" w:type="dxa"/>
          </w:tcPr>
          <w:p w14:paraId="48C69E8C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CCR valur tal-iskopertura</w:t>
            </w:r>
          </w:p>
          <w:p w14:paraId="06BD2F33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tal-iskopertura għar-Riskju ta’ Kreditu tal-Kontroparti (CCR, Counterparty Credit Risk) ikkalkolat f’konformità mal-metodi stabbiliti fit-Tielet Parti, it-Titolu II, il-Kapitoli 4 u 6 tar-Regolament (UE) Nru 575/2013.</w:t>
            </w:r>
          </w:p>
        </w:tc>
      </w:tr>
      <w:tr w:rsidR="00680687" w:rsidRPr="002A677E" w14:paraId="117387BA" w14:textId="77777777" w:rsidTr="006A3ADC">
        <w:tc>
          <w:tcPr>
            <w:tcW w:w="1172" w:type="dxa"/>
          </w:tcPr>
          <w:p w14:paraId="7CA143D6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7844" w:type="dxa"/>
          </w:tcPr>
          <w:p w14:paraId="51B45A7C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Rekwiżiti ta’ fondi proprji għas-CCR</w:t>
            </w:r>
          </w:p>
          <w:p w14:paraId="0F0016B3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Rekwiżiti ta’ fondi proprji għas-CCR (l-Artikolu 92(4), il-punti (a) u (g), u t-Tielet Parti, it-Titolu VI, tar-Regolament (UE) Nru 575/2013).</w:t>
            </w:r>
          </w:p>
        </w:tc>
      </w:tr>
      <w:tr w:rsidR="00680687" w:rsidRPr="002A677E" w14:paraId="5F978FE1" w14:textId="77777777" w:rsidTr="006A3ADC">
        <w:tc>
          <w:tcPr>
            <w:tcW w:w="1172" w:type="dxa"/>
          </w:tcPr>
          <w:p w14:paraId="182AB4FA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7844" w:type="dxa"/>
          </w:tcPr>
          <w:p w14:paraId="396D9C75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 nozzjonali</w:t>
            </w:r>
          </w:p>
          <w:p w14:paraId="3D1812D7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Is-somma tal-ammonti nozzjonali għal derivattivi qabel kwalunkwe netting u mingħajr ebda aġġustament f’konformità mal-Artikolu 279b tar-Regolament (UE) Nru 575/2013.</w:t>
            </w:r>
          </w:p>
        </w:tc>
      </w:tr>
      <w:tr w:rsidR="00680687" w:rsidRPr="002A677E" w14:paraId="26F18ADD" w14:textId="77777777" w:rsidTr="006A3ADC">
        <w:tc>
          <w:tcPr>
            <w:tcW w:w="1172" w:type="dxa"/>
          </w:tcPr>
          <w:p w14:paraId="54779968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7844" w:type="dxa"/>
          </w:tcPr>
          <w:p w14:paraId="0B450F7D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CVA mġarrbin</w:t>
            </w:r>
          </w:p>
          <w:p w14:paraId="736FE6AE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Provvedimenti kontabilistiċi dovuti għal affidabbiltà tal-kreditu mnaqqsa tal-kontropartijiet tad-derivattivi.</w:t>
            </w:r>
          </w:p>
        </w:tc>
      </w:tr>
      <w:tr w:rsidR="00680687" w:rsidRPr="002A677E" w14:paraId="31462293" w14:textId="77777777" w:rsidTr="006A3ADC">
        <w:tc>
          <w:tcPr>
            <w:tcW w:w="1172" w:type="dxa"/>
          </w:tcPr>
          <w:p w14:paraId="1B68F842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7844" w:type="dxa"/>
          </w:tcPr>
          <w:p w14:paraId="2508C9C1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Trattament simplifikat għal pożizzjonijiet tad-derivattivi tas-CIUs</w:t>
            </w:r>
          </w:p>
          <w:p w14:paraId="5D30B96B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Rekwiżiti ta’ fondi proprji għas-CVA (l-Artikolu 92(4), il-punt (d), u t-Tielet Parti, it-Titolu VI, tar-Regolament (UE) Nru 575/2013), ikkalkolati f’konformità mat-trattament simplifikat għal pożizzjonijiet tad-derivattivi ta’ CIU definiti fl-Artikoli 132a(3), 152(3) u 325j(1) tar-Regolament (UE) Nru 575/2013.</w:t>
            </w:r>
          </w:p>
        </w:tc>
      </w:tr>
      <w:tr w:rsidR="00680687" w:rsidRPr="002A677E" w14:paraId="30F1E0DD" w14:textId="77777777" w:rsidTr="006A3ADC">
        <w:tc>
          <w:tcPr>
            <w:tcW w:w="1172" w:type="dxa"/>
          </w:tcPr>
          <w:p w14:paraId="6AA94009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7844" w:type="dxa"/>
          </w:tcPr>
          <w:p w14:paraId="7A0A82EA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Approċċ simplifikat</w:t>
            </w:r>
          </w:p>
          <w:p w14:paraId="004D4F8F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Rekwiżiti ta’ fondi proprji għal tranżazzjonijiet soġġetti għall-approċċ simplifikat stabbilit fl-Artikolu 385 tar-Regolament (UE) Nru 575/2013.</w:t>
            </w:r>
          </w:p>
        </w:tc>
      </w:tr>
      <w:tr w:rsidR="00680687" w:rsidRPr="002A677E" w14:paraId="5F75A918" w14:textId="77777777" w:rsidTr="006A3ADC">
        <w:tc>
          <w:tcPr>
            <w:tcW w:w="1172" w:type="dxa"/>
          </w:tcPr>
          <w:p w14:paraId="4A4C55CD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7844" w:type="dxa"/>
          </w:tcPr>
          <w:p w14:paraId="6D8487B1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Approċċ BA-CVA mnaqqas</w:t>
            </w:r>
          </w:p>
          <w:p w14:paraId="10567290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Rekwiżiti ta’ fondi proprji għas-CVA (l-Artikolu 92(4), il-punt (d), u l-t-Tielet Parti, it-Titolu VI, tar-Regolament (UE) Nru 575/2013), ikkalkolati f’konformità mal-Artikolu 384(3) għal istituzzjoni li tissodisfa l-kundizzjoni stabbilita fl-Artikolu 384(1)(b) tar-Regolament (UE) Nru 575/2013.</w:t>
            </w:r>
          </w:p>
        </w:tc>
      </w:tr>
      <w:tr w:rsidR="00680687" w:rsidRPr="002A677E" w14:paraId="775123CE" w14:textId="77777777" w:rsidTr="006A3ADC">
        <w:tc>
          <w:tcPr>
            <w:tcW w:w="1172" w:type="dxa"/>
          </w:tcPr>
          <w:p w14:paraId="3FE4F30F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0080-0110</w:t>
            </w:r>
          </w:p>
        </w:tc>
        <w:tc>
          <w:tcPr>
            <w:tcW w:w="7844" w:type="dxa"/>
          </w:tcPr>
          <w:p w14:paraId="4D4D4B28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Approċċ BA-CVA sħiħ</w:t>
            </w:r>
          </w:p>
          <w:p w14:paraId="29492D07" w14:textId="77777777" w:rsidR="00680687" w:rsidRPr="002A677E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Rekwiżiti ta’ fondi proprji għas-CVA (l-Artikolu 92(4), il-punt (d), u t-Tielet Parti, it-Titolu VI, tar-Regolament (UE) Nru 575/2013), ikkalkolat f’konformità mal-Artikolu 384(2) għal istituzzjoni li tissodisfa l-kundizzjoni stabbilita fl-Artikolu 384(1)(a) tar-Regolament (UE) Nru 575/2013.</w:t>
            </w:r>
          </w:p>
        </w:tc>
      </w:tr>
      <w:tr w:rsidR="00680687" w:rsidRPr="002A677E" w14:paraId="5CC39791" w14:textId="77777777" w:rsidTr="006A3ADC">
        <w:tc>
          <w:tcPr>
            <w:tcW w:w="1172" w:type="dxa"/>
          </w:tcPr>
          <w:p w14:paraId="7ED793DD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7844" w:type="dxa"/>
          </w:tcPr>
          <w:p w14:paraId="2F507335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Nozzjonali ta’ ħeġġijiet ta’ CVA</w:t>
            </w:r>
          </w:p>
          <w:p w14:paraId="3C607DB7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Nozzjonali ta’ ħeġġijiet eliġibbli għal CVA (ammonti grossi), rikonoxxuti f’konformità mal-Artikolu 386 tar-Regolament (UE) Nru 575/2013.</w:t>
            </w:r>
          </w:p>
        </w:tc>
      </w:tr>
      <w:tr w:rsidR="00680687" w:rsidRPr="002A677E" w14:paraId="25B5BEC0" w14:textId="77777777" w:rsidTr="006A3ADC">
        <w:tc>
          <w:tcPr>
            <w:tcW w:w="1172" w:type="dxa"/>
          </w:tcPr>
          <w:p w14:paraId="569A7775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7844" w:type="dxa"/>
          </w:tcPr>
          <w:p w14:paraId="7EE59EEA" w14:textId="77777777" w:rsidR="00680687" w:rsidRPr="005C217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BACVA</w:t>
            </w:r>
            <w:r>
              <w:rPr>
                <w:b/>
                <w:sz w:val="24"/>
                <w:vertAlign w:val="superscript"/>
                <w:rFonts w:ascii="Times New Roman" w:hAnsi="Times New Roman"/>
              </w:rPr>
              <w:t xml:space="preserve">csr mhux iħħeġġjat</w:t>
            </w:r>
          </w:p>
          <w:p w14:paraId="4A0E67ED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BACVAcsr-mhux iħħeġġjat għal tranżazzjonijiet soġġetti għall-approċċ bażiku kif ikkalkolat f’konformità mal-Artikolu 384(3) għal istituzzjoni li tissodisfa l-kundizzjoni stabbilita fl-Artikolu 384(1)(b) tar-Regolament (UE) Nru 575/2013.</w:t>
            </w:r>
          </w:p>
        </w:tc>
      </w:tr>
      <w:tr w:rsidR="00680687" w:rsidRPr="002A677E" w14:paraId="1E238074" w14:textId="77777777" w:rsidTr="006A3ADC">
        <w:tc>
          <w:tcPr>
            <w:tcW w:w="1172" w:type="dxa"/>
          </w:tcPr>
          <w:p w14:paraId="48638273" w14:textId="77777777" w:rsidR="00680687" w:rsidRPr="002A677E" w:rsidDel="00024DE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7844" w:type="dxa"/>
          </w:tcPr>
          <w:p w14:paraId="2C90402F" w14:textId="77777777" w:rsidR="00680687" w:rsidRDefault="00680687" w:rsidP="006A3ADC">
            <w:pPr>
              <w:rPr>
                <w:b/>
                <w:sz w:val="24"/>
                <w:vertAlign w:val="superscript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BACVA</w:t>
            </w:r>
            <w:r>
              <w:rPr>
                <w:b/>
                <w:sz w:val="24"/>
                <w:vertAlign w:val="superscript"/>
                <w:rFonts w:ascii="Times New Roman" w:hAnsi="Times New Roman"/>
              </w:rPr>
              <w:t xml:space="preserve">csr iħħeġġjat</w:t>
            </w:r>
          </w:p>
          <w:p w14:paraId="34FB0CB6" w14:textId="77777777" w:rsidR="00680687" w:rsidRPr="002A677E" w:rsidDel="00024DEA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BACVAcsr-iħħeġġjat għal tranżazzjonijiet soġġetti għall-approċċ bażiku kif ikkalkolat f’konformità mal-Artikolu 384(2) għal istituzzjoni li tissodisfa l-kundizzjoni stabbilita fl-Artikolu 384(1)(a)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680687" w:rsidRPr="002A677E" w14:paraId="00FE8EDC" w14:textId="77777777" w:rsidTr="006A3ADC">
        <w:tc>
          <w:tcPr>
            <w:tcW w:w="1172" w:type="dxa"/>
          </w:tcPr>
          <w:p w14:paraId="5303AFEA" w14:textId="77777777" w:rsidR="00680687" w:rsidRPr="002A677E" w:rsidDel="00024DE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0110</w:t>
            </w:r>
          </w:p>
        </w:tc>
        <w:tc>
          <w:tcPr>
            <w:tcW w:w="7844" w:type="dxa"/>
          </w:tcPr>
          <w:p w14:paraId="4F8092AD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Rekwiżiti ta’ fondi proprji</w:t>
            </w:r>
          </w:p>
          <w:p w14:paraId="1287DB8E" w14:textId="77777777" w:rsidR="00680687" w:rsidRPr="002A677E" w:rsidDel="00024DEA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Rekwiżiti ta’ fondi proprji totali għal tranżazzjonijiet soġġetti għall-approċċ bażiku sħiħ kif ikkalkolat f’konformità mal-Artikolu 384(2) għal istituzzjoni li tissodisfa l-kundizzjoni stabbilita fl-Artikolu 384(1)(a) tar-Regolament (UE) Nru 575/2013</w:t>
            </w:r>
          </w:p>
        </w:tc>
      </w:tr>
      <w:tr w:rsidR="00680687" w:rsidRPr="002A677E" w14:paraId="4D9D19AA" w14:textId="77777777" w:rsidTr="006A3ADC">
        <w:tc>
          <w:tcPr>
            <w:tcW w:w="1172" w:type="dxa"/>
          </w:tcPr>
          <w:p w14:paraId="40BB5135" w14:textId="77777777" w:rsidR="00680687" w:rsidRPr="002A677E" w:rsidDel="00024DE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0120-0270</w:t>
            </w:r>
          </w:p>
        </w:tc>
        <w:tc>
          <w:tcPr>
            <w:tcW w:w="7844" w:type="dxa"/>
          </w:tcPr>
          <w:p w14:paraId="6D273C70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Approċċ SA-CVA</w:t>
            </w:r>
          </w:p>
          <w:p w14:paraId="1546865B" w14:textId="77777777" w:rsidR="00680687" w:rsidRPr="002A677E" w:rsidDel="00024DEA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Rekwiżiti ta’ fondi proprji għas-CVA (l-Artikolu 92(4), il-punt (d) u t-Tielet Parti, it-Titolu VI, tar-Regolament (UE) Nru 575/2013), ikkalkolati f’konformità mal-Artikolu 383 għal istituzzjoni li tissodisfa l-kundizzjoni stabbilita fl-Artikolu 382a(1)(a) tar-Regolament (UE) Nru 575/2013.</w:t>
            </w:r>
          </w:p>
        </w:tc>
      </w:tr>
      <w:tr w:rsidR="00680687" w:rsidRPr="002A677E" w14:paraId="25255F9B" w14:textId="77777777" w:rsidTr="006A3ADC">
        <w:tc>
          <w:tcPr>
            <w:tcW w:w="1172" w:type="dxa"/>
          </w:tcPr>
          <w:p w14:paraId="1EEE68F9" w14:textId="77777777" w:rsidR="00680687" w:rsidRPr="002A677E" w:rsidDel="00024DE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0120</w:t>
            </w:r>
          </w:p>
        </w:tc>
        <w:tc>
          <w:tcPr>
            <w:tcW w:w="7844" w:type="dxa"/>
          </w:tcPr>
          <w:p w14:paraId="3B3DE69C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Nozzjonali ta’ ħeġġijiet ta’ CVA</w:t>
            </w:r>
          </w:p>
          <w:p w14:paraId="50C4B375" w14:textId="77777777" w:rsidR="00680687" w:rsidRPr="002A677E" w:rsidDel="00024DEA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Nozzjonali ta’ ħeġġijiet eliġibbli għal CVA rikonoxxuti f’konformità mal-Artikolu 386 tar-Regolament (UE) Nru 575/2013.</w:t>
            </w:r>
          </w:p>
        </w:tc>
      </w:tr>
      <w:tr w:rsidR="00680687" w:rsidRPr="002A677E" w14:paraId="6842E160" w14:textId="77777777" w:rsidTr="006A3ADC">
        <w:tc>
          <w:tcPr>
            <w:tcW w:w="1172" w:type="dxa"/>
          </w:tcPr>
          <w:p w14:paraId="25D17774" w14:textId="77777777" w:rsidR="00680687" w:rsidRPr="002A677E" w:rsidDel="00024DE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0130</w:t>
            </w:r>
          </w:p>
        </w:tc>
        <w:tc>
          <w:tcPr>
            <w:tcW w:w="7844" w:type="dxa"/>
          </w:tcPr>
          <w:p w14:paraId="6FE0752E" w14:textId="77777777" w:rsidR="00680687" w:rsidRPr="002A677E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Għadd ta’ kontropartijiet</w:t>
            </w:r>
          </w:p>
          <w:p w14:paraId="10FC4FF6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445a(1)(c) tar-Regolament (UE) Nru 575/2013</w:t>
            </w:r>
          </w:p>
          <w:p w14:paraId="3A9459B9" w14:textId="77777777" w:rsidR="00680687" w:rsidRPr="005C217A" w:rsidDel="00024DE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L-għadd ta’ kontropartijiet kif definiti fl-Artikolu 383(1) tar-Regolament (UE) Nru 575/2013 inklużi fil-kalkolu tal-fondi proprji għar-riskju SA-CVA.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L-għadd totali għandu jiġi rrapportat fir-ringiela 0010 u d-diżaggregazzjoni skont it-tip ta’ kontroparti fir-ringieli 0170-0220.</w:t>
            </w:r>
          </w:p>
        </w:tc>
      </w:tr>
      <w:tr w:rsidR="00680687" w:rsidRPr="002A677E" w14:paraId="03E5B4A8" w14:textId="77777777" w:rsidTr="006A3ADC">
        <w:tc>
          <w:tcPr>
            <w:tcW w:w="1172" w:type="dxa"/>
          </w:tcPr>
          <w:p w14:paraId="68CD118A" w14:textId="77777777" w:rsidR="00680687" w:rsidRPr="002A677E" w:rsidDel="00024DE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0140-0250</w:t>
            </w:r>
          </w:p>
        </w:tc>
        <w:tc>
          <w:tcPr>
            <w:tcW w:w="7844" w:type="dxa"/>
          </w:tcPr>
          <w:p w14:paraId="1E26CA07" w14:textId="77777777" w:rsidR="00680687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Rekwiżiti ta’ fondi proprji għas-settijiet ta’ netting skont l-approċċ SA-CVA</w:t>
            </w:r>
          </w:p>
          <w:p w14:paraId="512141CA" w14:textId="72FCFDDA" w:rsidR="00680687" w:rsidRPr="002A677E" w:rsidDel="00024DEA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Rekwiżiti ta’ fondi proprji għar-riskju SA-CVA f’konformità mal-Artikolu 383 tar-Regolament (UE) Nru 575/2013, inkluż diżaggregazzjoni skont il-klassijiet tar-riskju kif definit fl-Artikolu 383(2)(1) u għal kull waħda mill-klassijiet tar-riskju r-rekwiżiti ta’ fondi proprji għar-riskji delta u għar-riskji vega kif meħtieġ fl-Artikolu 383(3) u f’konformità mal-Artikolu 383b tar-Regolament (UE) Nru 575/2013.</w:t>
            </w:r>
          </w:p>
        </w:tc>
      </w:tr>
      <w:tr w:rsidR="00680687" w:rsidRPr="002A677E" w14:paraId="1BC8EFF8" w14:textId="77777777" w:rsidTr="006A3ADC">
        <w:tc>
          <w:tcPr>
            <w:tcW w:w="1172" w:type="dxa"/>
          </w:tcPr>
          <w:p w14:paraId="1E505571" w14:textId="77777777" w:rsidR="00680687" w:rsidRPr="002A677E" w:rsidDel="00024DE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0140-0150</w:t>
            </w:r>
          </w:p>
        </w:tc>
        <w:tc>
          <w:tcPr>
            <w:tcW w:w="7844" w:type="dxa"/>
          </w:tcPr>
          <w:p w14:paraId="0AEAA3AD" w14:textId="77777777" w:rsidR="00680687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Rekwiżiti ta’ fondi proprji għar-riskju taċ-ċaqliq fir-rata tal-imgħax</w:t>
            </w:r>
          </w:p>
          <w:p w14:paraId="6695CC3B" w14:textId="01E1C8B9" w:rsidR="00680687" w:rsidRPr="002A677E" w:rsidDel="00024DEA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383c, 383i, 383j, 383k, 383l, 383m tar-Regolament (UE) Nru 575/2013.</w:t>
            </w:r>
          </w:p>
        </w:tc>
      </w:tr>
      <w:tr w:rsidR="00680687" w:rsidRPr="002A677E" w14:paraId="728092B0" w14:textId="77777777" w:rsidTr="006A3ADC">
        <w:tc>
          <w:tcPr>
            <w:tcW w:w="1172" w:type="dxa"/>
          </w:tcPr>
          <w:p w14:paraId="06AAAC3A" w14:textId="77777777" w:rsidR="00680687" w:rsidRPr="002A677E" w:rsidDel="00024DE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0160-0170</w:t>
            </w:r>
          </w:p>
        </w:tc>
        <w:tc>
          <w:tcPr>
            <w:tcW w:w="7844" w:type="dxa"/>
          </w:tcPr>
          <w:p w14:paraId="5C9DEA36" w14:textId="77777777" w:rsidR="00680687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Rekwiżiti ta’ fondi proprji għar-riskju tal-kambju</w:t>
            </w:r>
          </w:p>
          <w:p w14:paraId="312EFBD9" w14:textId="6EA3814A" w:rsidR="00680687" w:rsidRPr="002A677E" w:rsidDel="00024DEA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383d, 383i, 383j, 383n, 383o tar-Regolament (UE) Nru 575/2013.</w:t>
            </w:r>
          </w:p>
        </w:tc>
      </w:tr>
      <w:tr w:rsidR="00680687" w:rsidRPr="002A677E" w14:paraId="2A26F3BC" w14:textId="77777777" w:rsidTr="006A3ADC">
        <w:tc>
          <w:tcPr>
            <w:tcW w:w="1172" w:type="dxa"/>
          </w:tcPr>
          <w:p w14:paraId="4988687E" w14:textId="77777777" w:rsidR="00680687" w:rsidRPr="002A677E" w:rsidDel="00024DE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0180-0190</w:t>
            </w:r>
          </w:p>
        </w:tc>
        <w:tc>
          <w:tcPr>
            <w:tcW w:w="7844" w:type="dxa"/>
          </w:tcPr>
          <w:p w14:paraId="111D7BAC" w14:textId="77777777" w:rsidR="00680687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Rekwiżiti ta’ fondi proprji għar-riskju ta’ firxiet tal-kreditu ta’ kontroparti</w:t>
            </w:r>
          </w:p>
          <w:p w14:paraId="331E3D6B" w14:textId="1A5FCDC3" w:rsidR="00680687" w:rsidRPr="002A677E" w:rsidDel="00024DEA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383e, 383i, 383j, 383p, 383q, 383r tar-Regolament (UE) Nru 575/2013.</w:t>
            </w:r>
          </w:p>
        </w:tc>
      </w:tr>
      <w:tr w:rsidR="00680687" w:rsidRPr="002A677E" w14:paraId="589DE234" w14:textId="77777777" w:rsidTr="006A3ADC">
        <w:tc>
          <w:tcPr>
            <w:tcW w:w="1172" w:type="dxa"/>
          </w:tcPr>
          <w:p w14:paraId="3361402D" w14:textId="77777777" w:rsidR="00680687" w:rsidRPr="002A677E" w:rsidDel="00024DE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0200-0210</w:t>
            </w:r>
          </w:p>
        </w:tc>
        <w:tc>
          <w:tcPr>
            <w:tcW w:w="7844" w:type="dxa"/>
          </w:tcPr>
          <w:p w14:paraId="34E7BFC3" w14:textId="77777777" w:rsidR="00680687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Rekwiżiti ta’ fondi proprji għar-riskju ta' firxiet tal-kreditu ta’ referenza</w:t>
            </w:r>
          </w:p>
          <w:p w14:paraId="39B46545" w14:textId="148AEA7F" w:rsidR="00680687" w:rsidRPr="002A677E" w:rsidDel="00024DEA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383f, 383i, 383j, 383s, 383u tar-Regolament (UE) Nru 575/2013.</w:t>
            </w:r>
          </w:p>
        </w:tc>
      </w:tr>
      <w:tr w:rsidR="00680687" w:rsidRPr="002A677E" w14:paraId="0AA17295" w14:textId="77777777" w:rsidTr="006A3ADC">
        <w:tc>
          <w:tcPr>
            <w:tcW w:w="1172" w:type="dxa"/>
          </w:tcPr>
          <w:p w14:paraId="3BFBD270" w14:textId="77777777" w:rsidR="00680687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0220-0230</w:t>
            </w:r>
          </w:p>
        </w:tc>
        <w:tc>
          <w:tcPr>
            <w:tcW w:w="7844" w:type="dxa"/>
          </w:tcPr>
          <w:p w14:paraId="46C4DB98" w14:textId="77777777" w:rsidR="00680687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Rekwiżiti ta’ fondi proprji għar-riskju ta’ ekwità</w:t>
            </w:r>
          </w:p>
          <w:p w14:paraId="092925F2" w14:textId="74EFD749" w:rsidR="00680687" w:rsidRPr="00460424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383g, 383i, 383j, 383v, 383w tar-Regolament (UE) Nru 575/2013.</w:t>
            </w:r>
          </w:p>
        </w:tc>
      </w:tr>
      <w:tr w:rsidR="00680687" w:rsidRPr="002A677E" w14:paraId="63100E64" w14:textId="77777777" w:rsidTr="006A3ADC">
        <w:tc>
          <w:tcPr>
            <w:tcW w:w="1172" w:type="dxa"/>
          </w:tcPr>
          <w:p w14:paraId="6EB58469" w14:textId="77777777" w:rsidR="00680687" w:rsidRPr="002A677E" w:rsidDel="00024DE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0240-0250</w:t>
            </w:r>
          </w:p>
        </w:tc>
        <w:tc>
          <w:tcPr>
            <w:tcW w:w="7844" w:type="dxa"/>
          </w:tcPr>
          <w:p w14:paraId="44A59885" w14:textId="77777777" w:rsidR="00680687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Rekwiżiti ta’ fondi proprji għar-riskju tal-komoditajiet</w:t>
            </w:r>
          </w:p>
          <w:p w14:paraId="1FD90135" w14:textId="4A1B5A40" w:rsidR="00680687" w:rsidRPr="002A677E" w:rsidDel="00024DEA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383h, 383i, 383j, 383x, 383z tar-Regolament (UE) Nru 575/2013.</w:t>
            </w:r>
          </w:p>
        </w:tc>
      </w:tr>
      <w:tr w:rsidR="00680687" w:rsidRPr="002A677E" w14:paraId="6E2BE277" w14:textId="77777777" w:rsidTr="006A3ADC">
        <w:tc>
          <w:tcPr>
            <w:tcW w:w="1172" w:type="dxa"/>
          </w:tcPr>
          <w:p w14:paraId="7A04FEBF" w14:textId="77777777" w:rsidR="00680687" w:rsidRPr="002A677E" w:rsidDel="00024DE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0260</w:t>
            </w:r>
          </w:p>
        </w:tc>
        <w:tc>
          <w:tcPr>
            <w:tcW w:w="7844" w:type="dxa"/>
          </w:tcPr>
          <w:p w14:paraId="2CADDF39" w14:textId="77777777" w:rsidR="00680687" w:rsidRPr="00D143CE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i/>
                <w:vertAlign w:val="superscript"/>
                <w:rFonts w:ascii="Times New Roman" w:hAnsi="Times New Roman"/>
              </w:rPr>
              <w:t xml:space="preserve">m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CVA</w:t>
            </w:r>
          </w:p>
          <w:p w14:paraId="25594EAC" w14:textId="77777777" w:rsidR="00680687" w:rsidRPr="002A677E" w:rsidDel="00024DEA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Valur tal-fattur multiplikatur </w:t>
            </w:r>
            <w:r>
              <w:rPr>
                <w:sz w:val="24"/>
                <w:rFonts w:ascii="Cambria Math" w:hAnsi="Cambria Math"/>
              </w:rPr>
              <w:t xml:space="preserve">𝑚𝐶𝑉𝐴</w:t>
            </w:r>
            <w:r>
              <w:rPr>
                <w:sz w:val="24"/>
                <w:rFonts w:ascii="Times New Roman" w:hAnsi="Times New Roman"/>
              </w:rPr>
              <w:t xml:space="preserve"> f’konformità mal-Artikolu 383b(8)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Il-valur użat fil-kalkolu tar-rekwiżiti ta’ fondi proprji għandu jiġi rrapportat (valur ugwali għal 1 jew valur miżjud mill-awtoritajiet kompetenti).</w:t>
            </w:r>
          </w:p>
        </w:tc>
      </w:tr>
      <w:tr w:rsidR="00680687" w:rsidRPr="002A677E" w14:paraId="0FFB4692" w14:textId="77777777" w:rsidTr="006A3ADC">
        <w:tc>
          <w:tcPr>
            <w:tcW w:w="1172" w:type="dxa"/>
          </w:tcPr>
          <w:p w14:paraId="249BE219" w14:textId="77777777" w:rsidR="00680687" w:rsidRPr="002A677E" w:rsidDel="00024DE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0270</w:t>
            </w:r>
          </w:p>
        </w:tc>
        <w:tc>
          <w:tcPr>
            <w:tcW w:w="7844" w:type="dxa"/>
          </w:tcPr>
          <w:p w14:paraId="0B3D9E18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Rekwiżiti ta’ fondi proprji</w:t>
            </w:r>
          </w:p>
          <w:p w14:paraId="55E6BD5C" w14:textId="77777777" w:rsidR="00680687" w:rsidRPr="002A677E" w:rsidDel="00024DEA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Rekwiżiti ta’ fondi proprji għal tranżazzjonijiet soġġetti għas-SA-CVA ikkalkolati f’konformità mal-Artikolu 383 tar-Regolament (UE) Nru 575/2013.</w:t>
            </w:r>
          </w:p>
        </w:tc>
      </w:tr>
      <w:tr w:rsidR="00680687" w:rsidRPr="002A677E" w14:paraId="0F30E639" w14:textId="77777777" w:rsidTr="006A3ADC">
        <w:tc>
          <w:tcPr>
            <w:tcW w:w="1172" w:type="dxa"/>
          </w:tcPr>
          <w:p w14:paraId="35CF01D7" w14:textId="77777777" w:rsidR="00680687" w:rsidRPr="002A677E" w:rsidDel="00024DE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0280</w:t>
            </w:r>
          </w:p>
        </w:tc>
        <w:tc>
          <w:tcPr>
            <w:tcW w:w="7844" w:type="dxa"/>
          </w:tcPr>
          <w:p w14:paraId="618674CA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REKWIŻITI TA’ FONDI PROPRJI TOTALI</w:t>
            </w:r>
          </w:p>
          <w:p w14:paraId="7E3B417F" w14:textId="166217C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92(4), il-punt (e),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24C965B" w14:textId="77777777" w:rsidR="00680687" w:rsidRPr="002A677E" w:rsidDel="00024DEA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Rekwiżiti ta’ fondi proprji totali għar-Riskju ta’ CVA kkalkolati bl-użu ta’ kwalunkwe wieħed mill-approċċi applikabbli msemmija fl-Artikolu 382a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 </w:t>
            </w:r>
            <w:r>
              <w:rPr>
                <w:sz w:val="24"/>
                <w:rFonts w:ascii="Times New Roman" w:hAnsi="Times New Roman"/>
              </w:rPr>
              <w:t xml:space="preserve">F’każ li jiġi applikat aktar minn approċċ wieħed, għandha tiġi rrapportata s-somma sempliċi tar-rekwiżiti ta’ fondi proprji kollha ta’ kull approċċ.</w:t>
            </w:r>
          </w:p>
        </w:tc>
      </w:tr>
      <w:tr w:rsidR="00680687" w:rsidRPr="002A677E" w14:paraId="460901D5" w14:textId="77777777" w:rsidTr="006A3ADC">
        <w:tc>
          <w:tcPr>
            <w:tcW w:w="1172" w:type="dxa"/>
          </w:tcPr>
          <w:p w14:paraId="61FCBEEB" w14:textId="77777777" w:rsidR="00680687" w:rsidRPr="002A677E" w:rsidDel="00024DE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0290</w:t>
            </w:r>
          </w:p>
        </w:tc>
        <w:tc>
          <w:tcPr>
            <w:tcW w:w="7844" w:type="dxa"/>
          </w:tcPr>
          <w:p w14:paraId="38352FA3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AMMONTI TOTALI TAL-ISKOPERTURA GĦAR-RISKJU</w:t>
            </w:r>
          </w:p>
          <w:p w14:paraId="6B715A20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92(6) tar-Regolament (UE) Nru 575/2013.</w:t>
            </w:r>
          </w:p>
          <w:p w14:paraId="769B7CA0" w14:textId="77777777" w:rsidR="00680687" w:rsidRPr="005C217A" w:rsidDel="00024DEA" w:rsidRDefault="00680687" w:rsidP="006A3ADC">
            <w:pPr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Rekwiżiti ta’ fondi proprji mmultiplikati bi 12,5.</w:t>
            </w:r>
          </w:p>
        </w:tc>
      </w:tr>
      <w:tr w:rsidR="00680687" w:rsidRPr="002A677E" w14:paraId="00C49743" w14:textId="77777777" w:rsidTr="006A3ADC">
        <w:tc>
          <w:tcPr>
            <w:tcW w:w="901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2981E05" w14:textId="77777777" w:rsidR="00680687" w:rsidRDefault="00680687" w:rsidP="006A3AD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80687" w:rsidRPr="002A677E" w14:paraId="39581B57" w14:textId="77777777" w:rsidTr="006A3ADC">
        <w:tc>
          <w:tcPr>
            <w:tcW w:w="9016" w:type="dxa"/>
            <w:gridSpan w:val="2"/>
            <w:shd w:val="clear" w:color="auto" w:fill="CCCCCC"/>
          </w:tcPr>
          <w:p w14:paraId="10EB98F8" w14:textId="77777777" w:rsidR="00680687" w:rsidRPr="002A677E" w:rsidRDefault="00680687" w:rsidP="006A3ADC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Ringieli</w:t>
            </w:r>
          </w:p>
        </w:tc>
      </w:tr>
      <w:tr w:rsidR="00680687" w:rsidRPr="002A677E" w14:paraId="7CF1BC60" w14:textId="77777777" w:rsidTr="006A3ADC">
        <w:tc>
          <w:tcPr>
            <w:tcW w:w="1172" w:type="dxa"/>
          </w:tcPr>
          <w:p w14:paraId="041DB542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7844" w:type="dxa"/>
          </w:tcPr>
          <w:p w14:paraId="02BF5C47" w14:textId="77777777" w:rsidR="00680687" w:rsidRPr="00743542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Tranżazzjonijiet fil-kamp ta’ applikazzjoni tar-rekwiżit ta’ fondi proprji għar-riskju ta’ CVA</w:t>
            </w:r>
          </w:p>
          <w:p w14:paraId="0243C539" w14:textId="77777777" w:rsidR="00680687" w:rsidRPr="00DB28D1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382 tar-Regolament (UE) Nru 575/2013.</w:t>
            </w:r>
          </w:p>
        </w:tc>
      </w:tr>
      <w:tr w:rsidR="00680687" w:rsidRPr="002A677E" w14:paraId="25F63C9E" w14:textId="77777777" w:rsidTr="006A3ADC">
        <w:tc>
          <w:tcPr>
            <w:tcW w:w="1172" w:type="dxa"/>
          </w:tcPr>
          <w:p w14:paraId="60D4A734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7844" w:type="dxa"/>
          </w:tcPr>
          <w:p w14:paraId="591F63A9" w14:textId="77777777" w:rsidR="00680687" w:rsidRPr="005C217A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minnhom: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derivattivi biss</w:t>
            </w:r>
          </w:p>
          <w:p w14:paraId="243F2835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Derivattivi fil-kamp ta’ applikazzjoni tal-Artikolu 382 tar-Regolament (UE) Nru 575/2013 (jiġifieri t-tranżazzjonijiet kollha rrapportati fir-ringiela 0010, esklużi tranżazzjonijiet ta’ finanzjament tat-titoli).</w:t>
            </w:r>
          </w:p>
        </w:tc>
      </w:tr>
      <w:tr w:rsidR="00680687" w:rsidRPr="002A677E" w14:paraId="24634A77" w14:textId="77777777" w:rsidTr="006A3ADC">
        <w:tc>
          <w:tcPr>
            <w:tcW w:w="1172" w:type="dxa"/>
          </w:tcPr>
          <w:p w14:paraId="72803830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7844" w:type="dxa"/>
          </w:tcPr>
          <w:p w14:paraId="3BF86B85" w14:textId="77777777" w:rsidR="00680687" w:rsidRPr="005C217A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minnhom: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Tranżazzjonijiet eżentati mod ieħor li l-istituzzjonijiet jagħżlu li jirriintegraw fil-kalkolu tar-rekwiżiti ta’ fondi proprji</w:t>
            </w:r>
          </w:p>
          <w:p w14:paraId="44419E50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382(4a) tar-Regolament (UE) Nru 575/2013.</w:t>
            </w:r>
          </w:p>
        </w:tc>
      </w:tr>
      <w:tr w:rsidR="00680687" w:rsidRPr="002A677E" w14:paraId="2AF23E14" w14:textId="77777777" w:rsidTr="006A3ADC">
        <w:tc>
          <w:tcPr>
            <w:tcW w:w="1172" w:type="dxa"/>
          </w:tcPr>
          <w:p w14:paraId="102C842F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0040-0220</w:t>
            </w:r>
          </w:p>
        </w:tc>
        <w:tc>
          <w:tcPr>
            <w:tcW w:w="7844" w:type="dxa"/>
          </w:tcPr>
          <w:p w14:paraId="16D7C775" w14:textId="77777777" w:rsidR="00680687" w:rsidRPr="006E1C89" w:rsidRDefault="00680687" w:rsidP="006A3ADC">
            <w:pPr>
              <w:rPr>
                <w:b/>
                <w:bCs/>
                <w:cap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caps/>
                <w:sz w:val="24"/>
                <w:u w:val="single"/>
                <w:rFonts w:ascii="Times New Roman" w:hAnsi="Times New Roman"/>
              </w:rPr>
              <w:t xml:space="preserve">ENTRATI TA’ MEMORANDUM</w:t>
            </w:r>
          </w:p>
          <w:p w14:paraId="6F0B98CF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</w:p>
        </w:tc>
      </w:tr>
      <w:tr w:rsidR="00680687" w:rsidRPr="002A677E" w14:paraId="6AD4731B" w14:textId="77777777" w:rsidTr="006A3ADC">
        <w:tc>
          <w:tcPr>
            <w:tcW w:w="1172" w:type="dxa"/>
          </w:tcPr>
          <w:p w14:paraId="2A4448ED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0040-0110</w:t>
            </w:r>
          </w:p>
        </w:tc>
        <w:tc>
          <w:tcPr>
            <w:tcW w:w="7844" w:type="dxa"/>
          </w:tcPr>
          <w:p w14:paraId="18AE86C3" w14:textId="77777777" w:rsidR="00680687" w:rsidRPr="005C217A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Eżenzjonijiet ta’ CVA: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impatt marġinali tar-riintegrazzjoni</w:t>
            </w:r>
          </w:p>
          <w:p w14:paraId="7A74B86F" w14:textId="77777777" w:rsidR="00680687" w:rsidRPr="005C217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L-impatt marġinali tar-riintegrazzjoni tal-eżenzjonijiet ta’ CVA kif definit fl-Artikoli 382(3) u (4) tar-Regolament (UE) Nru 575/2013, separatament għal kull eżenzjoni.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L-impatt marġinali huwa d-differenza, espressa f’ammont assolut, bejn il-metrika rilevanti għall-kamp ta’ applikazzjoni tat-tranżazzjonijiet imsemmija fir-ringiela 0010 wara r-riintegrazzjoni tal-eżenzjoni, u l-metrika rilevanti għall-kamp ta’ applikazzjoni tat-tranżazzjonijiet imsemmija fir-ringiela 0010.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t xml:space="preserve"> </w:t>
            </w:r>
          </w:p>
        </w:tc>
      </w:tr>
      <w:tr w:rsidR="00680687" w:rsidRPr="002A677E" w14:paraId="4ED84249" w14:textId="77777777" w:rsidTr="006A3ADC">
        <w:tc>
          <w:tcPr>
            <w:tcW w:w="1172" w:type="dxa"/>
          </w:tcPr>
          <w:p w14:paraId="7350CB84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7844" w:type="dxa"/>
          </w:tcPr>
          <w:p w14:paraId="7D9C78C4" w14:textId="77777777" w:rsidR="00680687" w:rsidRPr="006E1C89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It-tranżazzjonijiet kollha eżentati</w:t>
            </w:r>
          </w:p>
          <w:p w14:paraId="76D1F41B" w14:textId="77777777" w:rsidR="00680687" w:rsidRDefault="00680687" w:rsidP="006A3AD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Impatt marġinali tar-riintegrazzjoni tal-eżenzjonijiet kollha ta’ CVA kif definit fl-Artikoli 382(3) u (4), tar-Regolament (UE) Nru 575/2013.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6F8EA837" w14:textId="77777777" w:rsidR="00680687" w:rsidRPr="008A700D" w:rsidRDefault="00680687" w:rsidP="006A3ADC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Il-kamp ta’ applikazzjoni tat-tranżazzjonijiet għandu jikkonsisti mit-tranżazzjonijiet kollha rrapportati fir-ringiela 0010, mingħajr ma jitqiesu l-eżenzjonijiet imsemmija fl-Artikolu 382(3) u l-Artikolu 382(4) tar-Regolament (UE) Nru 575/2013.</w:t>
            </w:r>
            <w:r>
              <w:rPr>
                <w:color w:val="auto"/>
                <w:rFonts w:ascii="Times New Roman" w:hAnsi="Times New Roman"/>
              </w:rPr>
              <w:t xml:space="preserve"> </w:t>
            </w:r>
            <w:r>
              <w:rPr>
                <w:color w:val="auto"/>
                <w:rFonts w:ascii="Times New Roman" w:hAnsi="Times New Roman"/>
              </w:rPr>
              <w:t xml:space="preserve">B’mod speċifiku, it-tranżazzjonijiet imsemmija hawn fuq li bħalissa huma esklużi mill-kalkolu tar-rekwiżiti kapitali ta’ CVA skont dawn l-artikoli għandhom jiġu riintegrati għall-fini ta’ din ir-ringiela.</w:t>
            </w:r>
            <w:r>
              <w:rPr>
                <w:color w:val="auto"/>
                <w:rFonts w:ascii="Times New Roman" w:hAnsi="Times New Roman"/>
              </w:rPr>
              <w:t xml:space="preserve"> </w:t>
            </w:r>
            <w:r>
              <w:rPr>
                <w:color w:val="auto"/>
                <w:rFonts w:ascii="Times New Roman" w:hAnsi="Times New Roman"/>
              </w:rPr>
              <w:t xml:space="preserve">It-tranżazzjonijiet totali riintegrati għall-fini ta’ din ir-ringiela għandhom ikunu t-tranżazzjonijiet li huma riintegrati għall-finijiet tar-ringieli 0050 sa 0110.</w:t>
            </w:r>
            <w:r>
              <w:rPr>
                <w:color w:val="auto"/>
                <w:rFonts w:ascii="Times New Roman" w:hAnsi="Times New Roman"/>
              </w:rPr>
              <w:t xml:space="preserve"> </w:t>
            </w:r>
          </w:p>
        </w:tc>
      </w:tr>
      <w:tr w:rsidR="00680687" w:rsidRPr="002A677E" w14:paraId="23ECB2C1" w14:textId="77777777" w:rsidTr="006A3ADC">
        <w:tc>
          <w:tcPr>
            <w:tcW w:w="1172" w:type="dxa"/>
          </w:tcPr>
          <w:p w14:paraId="5973D18B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7844" w:type="dxa"/>
          </w:tcPr>
          <w:p w14:paraId="4B3AB855" w14:textId="77777777" w:rsidR="00680687" w:rsidRDefault="00680687" w:rsidP="006A3ADC">
            <w:pPr>
              <w:pStyle w:val="Default"/>
              <w:jc w:val="both"/>
              <w:rPr>
                <w:b/>
                <w:bCs/>
                <w:color w:val="auto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color w:val="auto"/>
                <w:u w:val="single"/>
                <w:rFonts w:ascii="Times New Roman" w:hAnsi="Times New Roman"/>
              </w:rPr>
              <w:t xml:space="preserve">Tranżazzjonijiet tal-klijent</w:t>
            </w:r>
          </w:p>
          <w:p w14:paraId="26BE71DE" w14:textId="77777777" w:rsidR="00680687" w:rsidRDefault="00680687" w:rsidP="006A3ADC">
            <w:pPr>
              <w:pStyle w:val="Defaul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L-impatt marġinali tar-riintegrazzjoni tat-tranżazzjonijiet tal-klijent kif definit fl-Artikolu 382(3) tar-Regolament (UE) Nru 575/2013.</w:t>
            </w:r>
          </w:p>
          <w:p w14:paraId="73231515" w14:textId="77777777" w:rsidR="00680687" w:rsidRPr="005C217A" w:rsidRDefault="00680687" w:rsidP="006A3ADC">
            <w:pPr>
              <w:pStyle w:val="Default"/>
              <w:rPr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L-impatt marġinali tar-riintegrazzjoni tat-tranżazzjonijiet bejn klijent u membru tal-ikklerjar, meta l-membru tal-ikklerjar qed jaġixxi bħala intermedjarju bejn il-klijent u kontroparti ċentrali kwalifikanti, li huma eżentati skont l-Artikolu 382(3) tar-Regolament (UE) Nru 575/2013 mill-kamp ta’ applikazzjoni tar-ringiela 0010.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Il-klijenti ma għandhomx jirriintegraw dawk it-tranżazzjonijiet meta t-tranżazzjoni tissodisfa r-rekwiżiti fl-Artikolu 305(2), (3) u (4) ta’ dak ir-Regolament.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680687" w:rsidRPr="002A677E" w14:paraId="08AD2EE8" w14:textId="77777777" w:rsidTr="006A3ADC">
        <w:tc>
          <w:tcPr>
            <w:tcW w:w="1172" w:type="dxa"/>
          </w:tcPr>
          <w:p w14:paraId="4A924DC9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7844" w:type="dxa"/>
          </w:tcPr>
          <w:p w14:paraId="69BEF048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Tranżazzjonijiet ma’ kontropartijiet mhux finanzjarji</w:t>
            </w:r>
          </w:p>
          <w:p w14:paraId="5D14F94F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L-impatt marġinali tar-riintegrazzjoni tat-tranżazzjonijiet ma’ kontropartijiet mhux finanzjarji kif definit fl-Artikolu 382(4)(a) tar-Regolament (UE) Nru 575/2013.</w:t>
            </w:r>
          </w:p>
        </w:tc>
      </w:tr>
      <w:tr w:rsidR="00680687" w:rsidRPr="002A677E" w14:paraId="0299633B" w14:textId="77777777" w:rsidTr="006A3ADC">
        <w:tc>
          <w:tcPr>
            <w:tcW w:w="1172" w:type="dxa"/>
          </w:tcPr>
          <w:p w14:paraId="76ED40A3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7844" w:type="dxa"/>
          </w:tcPr>
          <w:p w14:paraId="06D59C90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Tranżazzjonijiet ma’ kontropartijiet mhux finanzjarji tal-UE biss</w:t>
            </w:r>
          </w:p>
          <w:p w14:paraId="4BE3F0CA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L-impatt marġinali tar-riintegrazzjoni tat-tranżazzjonijiet ma’ kontropartijiet mhux finanzjarji tal-UE biss.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Il-kamp ta’ applikazzjoni tat-tranżazzjonijiet għandu jikkonsisti mit-tranżazzjonijiet kollha rrapportati fir-ringiela 0060, nieqes il-kamp ta’ applikazzjoni tat-tranżazzjonijiet irrapportati fir-ringiela 0080.</w:t>
            </w:r>
          </w:p>
        </w:tc>
      </w:tr>
      <w:tr w:rsidR="00680687" w:rsidRPr="002A677E" w14:paraId="3731030D" w14:textId="77777777" w:rsidTr="006A3ADC">
        <w:tc>
          <w:tcPr>
            <w:tcW w:w="1172" w:type="dxa"/>
          </w:tcPr>
          <w:p w14:paraId="51808CD9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7844" w:type="dxa"/>
          </w:tcPr>
          <w:p w14:paraId="4BA84670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Tranżazzjonijiet ma’ kontropartijiet mhux finanzjarji ta’ pajjiżi terzi biss</w:t>
            </w:r>
          </w:p>
          <w:p w14:paraId="11A30CDC" w14:textId="77777777" w:rsidR="00680687" w:rsidRPr="002A677E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L-impatt marġinali tar-riintegrazzjoni tat-tranżazzjonijiet ma’ kontropartijiet mhux finanzjarji ta’ pajjiżi terzi biss.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Il-kamp ta’ applikazzjoni tat-tranżazzjonijiet għandu jikkonsisti mit-tranżazzjonijiet kollha rrapportati fir-ringiela 0060, nieqes il-kamp ta’ applikazzjoni tat-tranżazzjonijiet irrapportati fir-ringiela 0070.</w:t>
            </w:r>
          </w:p>
        </w:tc>
      </w:tr>
      <w:tr w:rsidR="00680687" w:rsidRPr="002A677E" w14:paraId="18A77771" w14:textId="77777777" w:rsidTr="006A3ADC">
        <w:tc>
          <w:tcPr>
            <w:tcW w:w="1172" w:type="dxa"/>
          </w:tcPr>
          <w:p w14:paraId="6E4EED3A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7844" w:type="dxa"/>
          </w:tcPr>
          <w:p w14:paraId="64EFAC4D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Tranżazzjonijiet intragrupp</w:t>
            </w:r>
          </w:p>
          <w:p w14:paraId="59B1E4E8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Impatt marġinali ta’ riintegrazzjoni ta’ tranżazzjonijiet intragrupp kif definit fl-Artikolu 382(4)(b) tar-Regolament (UE) Nru 575/2013.</w:t>
            </w:r>
          </w:p>
        </w:tc>
      </w:tr>
      <w:tr w:rsidR="00680687" w:rsidRPr="002A677E" w14:paraId="31EEAE35" w14:textId="77777777" w:rsidTr="006A3ADC">
        <w:tc>
          <w:tcPr>
            <w:tcW w:w="1172" w:type="dxa"/>
          </w:tcPr>
          <w:p w14:paraId="6B9DF7C0" w14:textId="77777777" w:rsidR="00680687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7844" w:type="dxa"/>
          </w:tcPr>
          <w:p w14:paraId="26366874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Tranżazzjonijiet ma’ kontropartijiet ta’ fondi tal-pensjonijiet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1051EC9B" w14:textId="77777777" w:rsidR="00680687" w:rsidRPr="005C4AA2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L-impatt marġinali tar-riintegrazzjoni tat-tranżazzjonijiet mal-kontropartijiet tal-fondi tal-pensjonijiet li jsiru matul il-perjodu tranżitorju stabbilit fl-Artikolu 89(1) tar-Regolament (UE) Nru 648/2012, u li huma eżentati mir-rekwiżiti ta’ fondi proprji għar-riskju ta’ CVA f’konformità mat-tieni paragrafu tal-Artikolu 382(4)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It-tranżazzjonijiet imsemmija fl-Artikolu 382(4)(c) li ma jsirux matul il-perjodu tranżitorju stabbilit fl-Artikolu 89(1) tar-Regolament (UE) Nru 648/2012 ma jitqisux bħala tranżazzjonijiet eżentati, peress li skada l-perjodu tranżitorju għall-applikazzjoni ta’ dik l-eżenzjoni.</w:t>
            </w:r>
          </w:p>
        </w:tc>
      </w:tr>
      <w:tr w:rsidR="00680687" w:rsidRPr="002A677E" w14:paraId="672E6D90" w14:textId="77777777" w:rsidTr="006A3ADC">
        <w:tc>
          <w:tcPr>
            <w:tcW w:w="1172" w:type="dxa"/>
          </w:tcPr>
          <w:p w14:paraId="2C9DEE10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0110</w:t>
            </w:r>
          </w:p>
        </w:tc>
        <w:tc>
          <w:tcPr>
            <w:tcW w:w="7844" w:type="dxa"/>
          </w:tcPr>
          <w:p w14:paraId="41C2A83D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Tranżazzjonijiet ma’ kontropartijiet sovrani</w:t>
            </w:r>
          </w:p>
          <w:p w14:paraId="63BD107D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L-impatt marġinali tar-riintegrazzjoni tat-tranżazzjonijiet ma’ kontropartijiet sovrani kif definit fl-Artikolu 382(4)(d) tar-Regolament (UE) Nru 575/2013.</w:t>
            </w:r>
          </w:p>
        </w:tc>
      </w:tr>
      <w:tr w:rsidR="00680687" w:rsidRPr="002A677E" w14:paraId="2FAF19E8" w14:textId="77777777" w:rsidTr="006A3ADC">
        <w:tc>
          <w:tcPr>
            <w:tcW w:w="1172" w:type="dxa"/>
          </w:tcPr>
          <w:p w14:paraId="7B2E2B90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0120</w:t>
            </w:r>
          </w:p>
        </w:tc>
        <w:tc>
          <w:tcPr>
            <w:tcW w:w="7844" w:type="dxa"/>
          </w:tcPr>
          <w:p w14:paraId="354A35FD" w14:textId="77777777" w:rsidR="00680687" w:rsidRPr="00253D86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Ħeġġijiet ta’ CVA ta’ tranżazzjonijiet eżentati mhux inklużi fil-kamp ta’ applikazzjoni tas-CVA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7B05FC5B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Ħeġġijiet ta’ CVA ta’ tranżazzjonijiet eżentati li mhumiex inklużi fil-kamp ta’ applikazzjoni tar-rekwiżiti ta’ fondi proprji għar-riskju ta’ CVA u li huma soġġetti għal rekwiżiti kapitali għar-riskju tas-suq.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680687" w:rsidRPr="002A677E" w14:paraId="01CC7562" w14:textId="77777777" w:rsidTr="006A3ADC">
        <w:tc>
          <w:tcPr>
            <w:tcW w:w="1172" w:type="dxa"/>
          </w:tcPr>
          <w:p w14:paraId="6B81B404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0130</w:t>
            </w:r>
          </w:p>
        </w:tc>
        <w:tc>
          <w:tcPr>
            <w:tcW w:w="7844" w:type="dxa"/>
          </w:tcPr>
          <w:p w14:paraId="69E3FC61" w14:textId="77777777" w:rsidR="00680687" w:rsidRPr="00253D86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Total ta’ SFTs ikklirjati mhux ċentralment li huma valutati b’mod ġust għal finijiet kontabilistiċi, esklużi tranżazzjonijiet eżentati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6A560A0D" w14:textId="042E0D75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SFTs li huma valutati b’valur ġust għal finijiet kontabilistiċi li jaqgħu fil-kamp ta’ applikazzjoni tar-rekwiżiti ta’ fondi proprji għar-riskju ta’ CVA f’konformità mal-Artikolu 382(2) tar-Regolament (UE) Nru 575/2013, irrispettivament minn jekk humiex materjali l-iskoperturi għar-riskju ta’ CVA li jirriżultaw minnhom.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SFTs li huma eżentati mir-rekwiżiti ta’ fondi proprji għar-riskju ta’ CVA f’konformità mal-Artikolu 382(3) u 382(4) tar-Regolament (UE) Nru 575/2013 għandhom jiġu esklużi mill-kalkoli, sakemm l-istituzzjoni ma tinkludix dawk it-tranżazzjonijiet fil-kamp ta’ applikazzjoni tar-rekwiżiti ta’ fondi proprji għar-riskju ta’ CVA f’konformità mal-Artikolu 382 (4a) tar-Regolament (UE) Nru 575/2013.</w:t>
            </w:r>
          </w:p>
        </w:tc>
      </w:tr>
      <w:tr w:rsidR="00680687" w:rsidRPr="002A677E" w14:paraId="51558923" w14:textId="77777777" w:rsidTr="006A3ADC">
        <w:tc>
          <w:tcPr>
            <w:tcW w:w="1172" w:type="dxa"/>
          </w:tcPr>
          <w:p w14:paraId="1BBFF038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0140-0160</w:t>
            </w:r>
          </w:p>
        </w:tc>
        <w:tc>
          <w:tcPr>
            <w:tcW w:w="7844" w:type="dxa"/>
          </w:tcPr>
          <w:p w14:paraId="2D6F4FFE" w14:textId="77777777" w:rsidR="00680687" w:rsidRPr="005F6CF0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Ħeġġijiet ta’ CVA</w:t>
            </w:r>
          </w:p>
          <w:p w14:paraId="225C7DDF" w14:textId="77777777" w:rsidR="00680687" w:rsidRPr="005C217A" w:rsidRDefault="00680687" w:rsidP="006A3ADC">
            <w:pPr>
              <w:rPr>
                <w:b/>
                <w:bCs/>
                <w:cap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386 tar-Regolament (UE) Nru 575/2013.</w:t>
            </w:r>
          </w:p>
        </w:tc>
      </w:tr>
      <w:tr w:rsidR="00680687" w:rsidRPr="002A677E" w14:paraId="0F486D81" w14:textId="77777777" w:rsidTr="006A3ADC">
        <w:tc>
          <w:tcPr>
            <w:tcW w:w="1172" w:type="dxa"/>
          </w:tcPr>
          <w:p w14:paraId="597AD53C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0140</w:t>
            </w:r>
          </w:p>
        </w:tc>
        <w:tc>
          <w:tcPr>
            <w:tcW w:w="7844" w:type="dxa"/>
          </w:tcPr>
          <w:p w14:paraId="5853509D" w14:textId="77777777" w:rsidR="00680687" w:rsidRPr="005C217A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CDS taħt isem wieħed</w:t>
            </w:r>
          </w:p>
        </w:tc>
      </w:tr>
      <w:tr w:rsidR="00680687" w:rsidRPr="002A677E" w14:paraId="2EFC56DA" w14:textId="77777777" w:rsidTr="006A3ADC">
        <w:tc>
          <w:tcPr>
            <w:tcW w:w="1172" w:type="dxa"/>
          </w:tcPr>
          <w:p w14:paraId="689DB8DD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0150</w:t>
            </w:r>
          </w:p>
        </w:tc>
        <w:tc>
          <w:tcPr>
            <w:tcW w:w="7844" w:type="dxa"/>
          </w:tcPr>
          <w:p w14:paraId="05C9EFAC" w14:textId="77777777" w:rsidR="00680687" w:rsidRPr="005C217A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CDS tal-indiċi</w:t>
            </w:r>
          </w:p>
        </w:tc>
      </w:tr>
      <w:tr w:rsidR="00680687" w:rsidRPr="002A677E" w14:paraId="0756472C" w14:textId="77777777" w:rsidTr="006A3ADC">
        <w:tc>
          <w:tcPr>
            <w:tcW w:w="1172" w:type="dxa"/>
          </w:tcPr>
          <w:p w14:paraId="219CB9F8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0160</w:t>
            </w:r>
          </w:p>
        </w:tc>
        <w:tc>
          <w:tcPr>
            <w:tcW w:w="7844" w:type="dxa"/>
          </w:tcPr>
          <w:p w14:paraId="14973198" w14:textId="77777777" w:rsidR="00680687" w:rsidRPr="005C217A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Derivattivi oħrajn ikklassifikati bħala ħeġġijiet tar-riskju ta’ CVA</w:t>
            </w:r>
          </w:p>
        </w:tc>
      </w:tr>
      <w:tr w:rsidR="00680687" w:rsidRPr="002A677E" w14:paraId="3769678C" w14:textId="77777777" w:rsidTr="006A3ADC">
        <w:tc>
          <w:tcPr>
            <w:tcW w:w="1172" w:type="dxa"/>
          </w:tcPr>
          <w:p w14:paraId="13F52A3F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0170-0220</w:t>
            </w:r>
          </w:p>
        </w:tc>
        <w:tc>
          <w:tcPr>
            <w:tcW w:w="7844" w:type="dxa"/>
          </w:tcPr>
          <w:p w14:paraId="3F625C66" w14:textId="77777777" w:rsidR="00680687" w:rsidRPr="005F6CF0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Tipi ta’ tranżazzjonijiet ta’ kontroparti soġġetti għall-approċċ SA-CVA</w:t>
            </w:r>
          </w:p>
          <w:p w14:paraId="3B7F80A8" w14:textId="77777777" w:rsidR="00680687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445a(1)(c) tar-Regolament (UE) Nru 575/2013.</w:t>
            </w:r>
          </w:p>
          <w:p w14:paraId="25779170" w14:textId="77777777" w:rsidR="00680687" w:rsidRDefault="00680687" w:rsidP="006A3ADC">
            <w:pPr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Għandu jintgħażel settur wieħed għal kull kontroparti fuq il-bażi tal-klassijiet tas-settur ekonomiku FINREP li ġejjin (ara l-Parti 3 tal-Anness V ta’ dan ir-Regolament ta’ Implimentazzjoni).</w:t>
            </w:r>
          </w:p>
          <w:p w14:paraId="77133872" w14:textId="77777777" w:rsidR="00680687" w:rsidRPr="002A677E" w:rsidRDefault="00680687" w:rsidP="006A3ADC">
            <w:pPr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L-għadd ta’ kontropartijiet skont is-settur għandu jiġi rrapportat fil-kolonna 0130.</w:t>
            </w:r>
          </w:p>
        </w:tc>
      </w:tr>
      <w:tr w:rsidR="00680687" w:rsidRPr="002A677E" w14:paraId="5B81430B" w14:textId="77777777" w:rsidTr="006A3ADC">
        <w:tc>
          <w:tcPr>
            <w:tcW w:w="1172" w:type="dxa"/>
          </w:tcPr>
          <w:p w14:paraId="61B642B2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0170</w:t>
            </w:r>
          </w:p>
        </w:tc>
        <w:tc>
          <w:tcPr>
            <w:tcW w:w="7844" w:type="dxa"/>
          </w:tcPr>
          <w:p w14:paraId="28298287" w14:textId="77777777" w:rsidR="00680687" w:rsidRPr="005C217A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Banek ċentrali</w:t>
            </w:r>
          </w:p>
        </w:tc>
      </w:tr>
      <w:tr w:rsidR="00680687" w:rsidRPr="002A677E" w14:paraId="3880D5FA" w14:textId="77777777" w:rsidTr="006A3ADC">
        <w:tc>
          <w:tcPr>
            <w:tcW w:w="1172" w:type="dxa"/>
          </w:tcPr>
          <w:p w14:paraId="08F5DA36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0180</w:t>
            </w:r>
          </w:p>
        </w:tc>
        <w:tc>
          <w:tcPr>
            <w:tcW w:w="7844" w:type="dxa"/>
          </w:tcPr>
          <w:p w14:paraId="5AC0FB98" w14:textId="77777777" w:rsidR="00680687" w:rsidRPr="005C217A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Gvernijiet Ġenerali</w:t>
            </w:r>
          </w:p>
        </w:tc>
      </w:tr>
      <w:tr w:rsidR="00680687" w:rsidRPr="002A677E" w14:paraId="4826C3E9" w14:textId="77777777" w:rsidTr="006A3ADC">
        <w:tc>
          <w:tcPr>
            <w:tcW w:w="1172" w:type="dxa"/>
          </w:tcPr>
          <w:p w14:paraId="419DB6E8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0190</w:t>
            </w:r>
          </w:p>
        </w:tc>
        <w:tc>
          <w:tcPr>
            <w:tcW w:w="7844" w:type="dxa"/>
          </w:tcPr>
          <w:p w14:paraId="5A7EA903" w14:textId="77777777" w:rsidR="00680687" w:rsidRPr="005C217A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Istituzzjonijiet ta’ kreditu</w:t>
            </w:r>
          </w:p>
        </w:tc>
      </w:tr>
      <w:tr w:rsidR="00680687" w:rsidRPr="002A677E" w14:paraId="60A5D5E9" w14:textId="77777777" w:rsidTr="006A3ADC">
        <w:tc>
          <w:tcPr>
            <w:tcW w:w="1172" w:type="dxa"/>
          </w:tcPr>
          <w:p w14:paraId="1236AA19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0200</w:t>
            </w:r>
          </w:p>
        </w:tc>
        <w:tc>
          <w:tcPr>
            <w:tcW w:w="7844" w:type="dxa"/>
          </w:tcPr>
          <w:p w14:paraId="56283C80" w14:textId="77777777" w:rsidR="00680687" w:rsidRPr="005C217A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Ditti ta’ investiment</w:t>
            </w:r>
          </w:p>
        </w:tc>
      </w:tr>
      <w:tr w:rsidR="00680687" w:rsidRPr="002A677E" w14:paraId="2445ED8F" w14:textId="77777777" w:rsidTr="006A3ADC">
        <w:tc>
          <w:tcPr>
            <w:tcW w:w="1172" w:type="dxa"/>
          </w:tcPr>
          <w:p w14:paraId="550C3C8F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0210</w:t>
            </w:r>
          </w:p>
        </w:tc>
        <w:tc>
          <w:tcPr>
            <w:tcW w:w="7844" w:type="dxa"/>
          </w:tcPr>
          <w:p w14:paraId="517C2FE3" w14:textId="77777777" w:rsidR="00680687" w:rsidRPr="005C217A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Korporazzjonijiet finanzjarji oħrajn (eskluż ditti ta’ investiment)</w:t>
            </w:r>
          </w:p>
        </w:tc>
      </w:tr>
      <w:tr w:rsidR="00680687" w:rsidRPr="002A677E" w14:paraId="167237FD" w14:textId="77777777" w:rsidTr="006A3ADC">
        <w:tc>
          <w:tcPr>
            <w:tcW w:w="1172" w:type="dxa"/>
          </w:tcPr>
          <w:p w14:paraId="29B7557A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0220</w:t>
            </w:r>
          </w:p>
        </w:tc>
        <w:tc>
          <w:tcPr>
            <w:tcW w:w="7844" w:type="dxa"/>
          </w:tcPr>
          <w:p w14:paraId="7956EA94" w14:textId="77777777" w:rsidR="00680687" w:rsidRPr="005C217A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Korporazzjonijiet mhux finanzjarji</w:t>
            </w:r>
          </w:p>
        </w:tc>
      </w:tr>
      <w:tr w:rsidR="00680687" w:rsidRPr="002A677E" w14:paraId="6BACE521" w14:textId="77777777" w:rsidTr="006A3ADC">
        <w:tc>
          <w:tcPr>
            <w:tcW w:w="1172" w:type="dxa"/>
          </w:tcPr>
          <w:p w14:paraId="36DAA114" w14:textId="77777777" w:rsidR="00680687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0230</w:t>
            </w:r>
          </w:p>
        </w:tc>
        <w:tc>
          <w:tcPr>
            <w:tcW w:w="7844" w:type="dxa"/>
          </w:tcPr>
          <w:p w14:paraId="7C6250A2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Aggregazzjoni ta’ komponenti sistematiċi tar-riskju ta’ CVA</w:t>
            </w:r>
          </w:p>
          <w:p w14:paraId="62BC44EB" w14:textId="77777777" w:rsidR="00680687" w:rsidRPr="009766CF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384(3)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Rekwiżit ta’ fondi proprji taħt suppożizzjoni ta’ korrelazzjoni perfetta (</w:t>
            </w:r>
            <w:r>
              <w:rPr>
                <w:sz w:val="24"/>
                <w:rFonts w:ascii="Times New Roman" w:hAnsi="Times New Roman"/>
              </w:rPr>
              <w:sym w:font="Symbol" w:char="F053"/>
            </w:r>
            <w:r>
              <w:rPr>
                <w:sz w:val="24"/>
                <w:vertAlign w:val="subscript"/>
                <w:rFonts w:ascii="Times New Roman" w:hAnsi="Times New Roman"/>
              </w:rPr>
              <w:t xml:space="preserve">c</w:t>
            </w:r>
            <w:r>
              <w:rPr>
                <w:sz w:val="24"/>
                <w:rFonts w:ascii="Times New Roman" w:hAnsi="Times New Roman"/>
              </w:rPr>
              <w:t xml:space="preserve">SCVA</w:t>
            </w:r>
            <w:r>
              <w:rPr>
                <w:sz w:val="24"/>
                <w:vertAlign w:val="subscript"/>
                <w:rFonts w:ascii="Times New Roman" w:hAnsi="Times New Roman"/>
              </w:rPr>
              <w:t xml:space="preserve">c).</w:t>
            </w:r>
            <w:r>
              <w:rPr>
                <w:sz w:val="24"/>
                <w:vertAlign w:val="subscript"/>
                <w:rFonts w:ascii="Times New Roman" w:hAnsi="Times New Roman"/>
              </w:rPr>
              <w:t xml:space="preserve">  </w:t>
            </w:r>
            <w:r>
              <w:rPr>
                <w:sz w:val="24"/>
                <w:rFonts w:ascii="Times New Roman" w:hAnsi="Times New Roman"/>
              </w:rPr>
              <w:t xml:space="preserve">Il-fattur ta’ skont ta’ 0,65 ma għandux jiġi applikat.</w:t>
            </w:r>
          </w:p>
        </w:tc>
      </w:tr>
      <w:tr w:rsidR="00680687" w:rsidRPr="002A677E" w14:paraId="65206CF9" w14:textId="77777777" w:rsidTr="006A3ADC">
        <w:tc>
          <w:tcPr>
            <w:tcW w:w="1172" w:type="dxa"/>
          </w:tcPr>
          <w:p w14:paraId="62DF0332" w14:textId="77777777" w:rsidR="00680687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0240</w:t>
            </w:r>
          </w:p>
        </w:tc>
        <w:tc>
          <w:tcPr>
            <w:tcW w:w="7844" w:type="dxa"/>
          </w:tcPr>
          <w:p w14:paraId="208A77B2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Aggregazzjoni ta’ komponenti idjosinkratiċi tar-riskju ta’ CVA</w:t>
            </w:r>
          </w:p>
          <w:p w14:paraId="7B1EBC08" w14:textId="77777777" w:rsidR="00680687" w:rsidRPr="009766CF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384(3)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Rekwiżit ta’ fondi proprji taħt suppożizzjoni ta’ korrelazzjoni żero (sqrt(</w:t>
            </w:r>
            <w:r>
              <w:rPr>
                <w:sz w:val="24"/>
                <w:rFonts w:ascii="Times New Roman" w:hAnsi="Times New Roman"/>
              </w:rPr>
              <w:sym w:font="Symbol" w:char="F053"/>
            </w:r>
            <w:r>
              <w:rPr>
                <w:sz w:val="24"/>
                <w:vertAlign w:val="subscript"/>
                <w:rFonts w:ascii="Times New Roman" w:hAnsi="Times New Roman"/>
              </w:rPr>
              <w:t xml:space="preserve">c</w:t>
            </w:r>
            <w:r>
              <w:rPr>
                <w:sz w:val="24"/>
                <w:rFonts w:ascii="Times New Roman" w:hAnsi="Times New Roman"/>
              </w:rPr>
              <w:t xml:space="preserve">SCVA</w:t>
            </w:r>
            <w:r>
              <w:rPr>
                <w:sz w:val="24"/>
                <w:vertAlign w:val="subscript"/>
                <w:rFonts w:ascii="Times New Roman" w:hAnsi="Times New Roman"/>
              </w:rPr>
              <w:t xml:space="preserve">c</w:t>
            </w:r>
            <w:r>
              <w:rPr>
                <w:sz w:val="24"/>
                <w:vertAlign w:val="superscript"/>
                <w:rFonts w:ascii="Times New Roman" w:hAnsi="Times New Roman"/>
              </w:rPr>
              <w:t xml:space="preserve">2</w:t>
            </w:r>
            <w:r>
              <w:rPr>
                <w:sz w:val="24"/>
                <w:rFonts w:ascii="Times New Roman" w:hAnsi="Times New Roman"/>
              </w:rPr>
              <w:t xml:space="preserve">)).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Il-fattur ta’ skont ta’ 0,65 ma għandux jiġi applikat.</w:t>
            </w:r>
          </w:p>
        </w:tc>
      </w:tr>
    </w:tbl>
    <w:p w14:paraId="28018638" w14:textId="77777777" w:rsidR="00680687" w:rsidRDefault="00680687" w:rsidP="00680687"/>
    <w:p w14:paraId="5D86CC30" w14:textId="77777777" w:rsidR="00680687" w:rsidRDefault="00680687" w:rsidP="00680687"/>
    <w:p w14:paraId="4A82DB4D" w14:textId="77777777" w:rsidR="00606FB5" w:rsidRDefault="00606FB5" w:rsidP="00606FB5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lang w:val="en-GB"/>
        </w:rPr>
      </w:pPr>
    </w:p>
    <w:p w14:paraId="4C3A5630" w14:textId="77777777" w:rsidR="00606FB5" w:rsidRDefault="00606FB5" w:rsidP="00606FB5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lang w:val="en-GB"/>
        </w:rPr>
      </w:pPr>
    </w:p>
    <w:bookmarkEnd w:id="6"/>
    <w:p w14:paraId="1A587C69" w14:textId="77777777" w:rsidR="00606FB5" w:rsidRPr="00606FB5" w:rsidRDefault="00606FB5" w:rsidP="00606FB5"/>
    <w:sectPr w:rsidR="00606FB5" w:rsidRPr="00606FB5">
      <w:headerReference w:type="even" r:id="rId11"/>
      <w:headerReference w:type="default" r:id="rId12"/>
      <w:head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23CAA0" w14:textId="77777777" w:rsidR="001E5355" w:rsidRDefault="001E5355" w:rsidP="007341EC">
      <w:pPr>
        <w:spacing w:before="0" w:after="0"/>
      </w:pPr>
      <w:r>
        <w:separator/>
      </w:r>
    </w:p>
  </w:endnote>
  <w:endnote w:type="continuationSeparator" w:id="0">
    <w:p w14:paraId="6E16C8BF" w14:textId="77777777" w:rsidR="001E5355" w:rsidRDefault="001E5355" w:rsidP="007341E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C431AE" w14:textId="77777777" w:rsidR="001E5355" w:rsidRDefault="001E5355" w:rsidP="007341EC">
      <w:pPr>
        <w:spacing w:before="0" w:after="0"/>
      </w:pPr>
      <w:r>
        <w:separator/>
      </w:r>
    </w:p>
  </w:footnote>
  <w:footnote w:type="continuationSeparator" w:id="0">
    <w:p w14:paraId="246DE660" w14:textId="77777777" w:rsidR="001E5355" w:rsidRDefault="001E5355" w:rsidP="007341E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78523" w14:textId="7211D844" w:rsidR="007341EC" w:rsidRDefault="007341EC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31A2901B" wp14:editId="110AB4F7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761226336" name="Text Box 2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DC1504" w14:textId="571F14F7" w:rsidR="007341EC" w:rsidRPr="007341EC" w:rsidRDefault="007341EC" w:rsidP="007341EC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A2901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Użu Regolari tal-EBA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35DC1504" w14:textId="571F14F7" w:rsidR="007341EC" w:rsidRPr="007341EC" w:rsidRDefault="007341EC" w:rsidP="007341EC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09F28F" w14:textId="700CE3C5" w:rsidR="007341EC" w:rsidRDefault="007341EC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398AF594" wp14:editId="35C2518C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37115435" name="Text Box 3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F6569DF" w14:textId="009B7B50" w:rsidR="007341EC" w:rsidRPr="007341EC" w:rsidRDefault="007341EC" w:rsidP="007341EC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8AF59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Użu Regolari tal-EBA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4F6569DF" w14:textId="009B7B50" w:rsidR="007341EC" w:rsidRPr="007341EC" w:rsidRDefault="007341EC" w:rsidP="007341EC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C00BF" w14:textId="2532D275" w:rsidR="007341EC" w:rsidRDefault="007341EC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29C0A740" wp14:editId="01E7D8AA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866896340" name="Text Box 1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9D80B87" w14:textId="703F3572" w:rsidR="007341EC" w:rsidRPr="007341EC" w:rsidRDefault="007341EC" w:rsidP="007341EC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C0A74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Użu Regolari tal-EBA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79D80B87" w14:textId="703F3572" w:rsidR="007341EC" w:rsidRPr="007341EC" w:rsidRDefault="007341EC" w:rsidP="007341EC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85394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1EC"/>
    <w:rsid w:val="000132CB"/>
    <w:rsid w:val="0002690B"/>
    <w:rsid w:val="00055596"/>
    <w:rsid w:val="000723D6"/>
    <w:rsid w:val="000C03DF"/>
    <w:rsid w:val="001054E6"/>
    <w:rsid w:val="001131E4"/>
    <w:rsid w:val="0012244E"/>
    <w:rsid w:val="0017758E"/>
    <w:rsid w:val="001A3FFF"/>
    <w:rsid w:val="001C580A"/>
    <w:rsid w:val="001E5355"/>
    <w:rsid w:val="00253D86"/>
    <w:rsid w:val="002815CB"/>
    <w:rsid w:val="00284184"/>
    <w:rsid w:val="00296DF0"/>
    <w:rsid w:val="002C6F9F"/>
    <w:rsid w:val="002E0330"/>
    <w:rsid w:val="002F5025"/>
    <w:rsid w:val="00314DFD"/>
    <w:rsid w:val="00327F8D"/>
    <w:rsid w:val="00340689"/>
    <w:rsid w:val="00375D7F"/>
    <w:rsid w:val="0039256B"/>
    <w:rsid w:val="00401970"/>
    <w:rsid w:val="0043596C"/>
    <w:rsid w:val="00473D32"/>
    <w:rsid w:val="004A2E7A"/>
    <w:rsid w:val="004A37E9"/>
    <w:rsid w:val="004B3EB4"/>
    <w:rsid w:val="004F79C2"/>
    <w:rsid w:val="00510AE9"/>
    <w:rsid w:val="00532B0C"/>
    <w:rsid w:val="005542E7"/>
    <w:rsid w:val="00594522"/>
    <w:rsid w:val="005B137C"/>
    <w:rsid w:val="005F6CF0"/>
    <w:rsid w:val="00606FB5"/>
    <w:rsid w:val="0061351B"/>
    <w:rsid w:val="00631623"/>
    <w:rsid w:val="00641472"/>
    <w:rsid w:val="00654BBD"/>
    <w:rsid w:val="0066047B"/>
    <w:rsid w:val="00671212"/>
    <w:rsid w:val="00680687"/>
    <w:rsid w:val="0068259C"/>
    <w:rsid w:val="006A3ADC"/>
    <w:rsid w:val="006E2916"/>
    <w:rsid w:val="006E5C38"/>
    <w:rsid w:val="007341EC"/>
    <w:rsid w:val="007342FB"/>
    <w:rsid w:val="00742164"/>
    <w:rsid w:val="00743542"/>
    <w:rsid w:val="00776A2E"/>
    <w:rsid w:val="00777E96"/>
    <w:rsid w:val="00782F57"/>
    <w:rsid w:val="00785909"/>
    <w:rsid w:val="007A4D29"/>
    <w:rsid w:val="007F3AF3"/>
    <w:rsid w:val="00820CB4"/>
    <w:rsid w:val="00832D39"/>
    <w:rsid w:val="00856733"/>
    <w:rsid w:val="00881267"/>
    <w:rsid w:val="008836E9"/>
    <w:rsid w:val="00890325"/>
    <w:rsid w:val="008C42A8"/>
    <w:rsid w:val="008D194E"/>
    <w:rsid w:val="00920C10"/>
    <w:rsid w:val="00927398"/>
    <w:rsid w:val="00942DF7"/>
    <w:rsid w:val="00955924"/>
    <w:rsid w:val="0099335D"/>
    <w:rsid w:val="009A273F"/>
    <w:rsid w:val="009C0384"/>
    <w:rsid w:val="009E64FB"/>
    <w:rsid w:val="00A3337B"/>
    <w:rsid w:val="00A432C8"/>
    <w:rsid w:val="00A6002C"/>
    <w:rsid w:val="00A67864"/>
    <w:rsid w:val="00A90A72"/>
    <w:rsid w:val="00AA1613"/>
    <w:rsid w:val="00AB0BA2"/>
    <w:rsid w:val="00AB6A6C"/>
    <w:rsid w:val="00AD0956"/>
    <w:rsid w:val="00AD1D5D"/>
    <w:rsid w:val="00AD72B8"/>
    <w:rsid w:val="00B411CC"/>
    <w:rsid w:val="00B71F25"/>
    <w:rsid w:val="00BC79BB"/>
    <w:rsid w:val="00BF0CDE"/>
    <w:rsid w:val="00C63973"/>
    <w:rsid w:val="00C73E12"/>
    <w:rsid w:val="00C95377"/>
    <w:rsid w:val="00CB2E9C"/>
    <w:rsid w:val="00CC08BC"/>
    <w:rsid w:val="00CC1BE6"/>
    <w:rsid w:val="00CF011F"/>
    <w:rsid w:val="00CF1050"/>
    <w:rsid w:val="00D15003"/>
    <w:rsid w:val="00D868EB"/>
    <w:rsid w:val="00DA6DF2"/>
    <w:rsid w:val="00DC08FB"/>
    <w:rsid w:val="00DD5030"/>
    <w:rsid w:val="00DE7233"/>
    <w:rsid w:val="00E36E3E"/>
    <w:rsid w:val="00EB0DF5"/>
    <w:rsid w:val="00EE169C"/>
    <w:rsid w:val="00EF07A1"/>
    <w:rsid w:val="00EF3DFB"/>
    <w:rsid w:val="00F12CDB"/>
    <w:rsid w:val="00F16125"/>
    <w:rsid w:val="00F3074A"/>
    <w:rsid w:val="00F42BE7"/>
    <w:rsid w:val="00F60A6C"/>
    <w:rsid w:val="00F732F3"/>
    <w:rsid w:val="00F82BD2"/>
    <w:rsid w:val="00FB4148"/>
    <w:rsid w:val="00FB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522754A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mt-M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41EC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41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341EC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en-GB"/>
      <w14:ligatures w14:val="none"/>
    </w:rPr>
  </w:style>
  <w:style w:type="paragraph" w:customStyle="1" w:styleId="Instructionsberschrift2">
    <w:name w:val="Instructions Überschrift 2"/>
    <w:basedOn w:val="Heading2"/>
    <w:rsid w:val="007341EC"/>
    <w:pPr>
      <w:keepLines w:val="0"/>
      <w:numPr>
        <w:numId w:val="1"/>
      </w:numPr>
      <w:tabs>
        <w:tab w:val="num" w:pos="360"/>
      </w:tabs>
      <w:spacing w:before="240" w:after="240"/>
      <w:ind w:left="0" w:firstLine="0"/>
    </w:pPr>
    <w:rPr>
      <w:rFonts w:ascii="Verdana" w:eastAsia="Arial" w:hAnsi="Verdana" w:cs="Arial"/>
      <w:color w:val="auto"/>
      <w:sz w:val="20"/>
      <w:szCs w:val="24"/>
      <w:u w:val="single"/>
      <w:lang w:val="mt-MT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41EC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7341E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7341EC"/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Revision">
    <w:name w:val="Revision"/>
    <w:hidden/>
    <w:uiPriority w:val="99"/>
    <w:semiHidden/>
    <w:rsid w:val="00641472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2E03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033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0330"/>
    <w:rPr>
      <w:rFonts w:ascii="Verdana" w:eastAsia="Times New Roman" w:hAnsi="Verdana" w:cs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03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0330"/>
    <w:rPr>
      <w:rFonts w:ascii="Verdana" w:eastAsia="Times New Roman" w:hAnsi="Verdana" w:cs="Times New Roman"/>
      <w:b/>
      <w:bCs/>
      <w:kern w:val="0"/>
      <w:sz w:val="20"/>
      <w:szCs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B6A6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AB6A6C"/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InstructionsTabelleText">
    <w:name w:val="Instructions Tabelle Text"/>
    <w:rsid w:val="00606FB5"/>
    <w:rPr>
      <w:rFonts w:ascii="Verdana" w:hAnsi="Verdana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98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D16264-0095-49B9-B6D2-A7314B9295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472EAE-D0CA-48AF-8404-6C28914338BE}"/>
</file>

<file path=customXml/itemProps3.xml><?xml version="1.0" encoding="utf-8"?>
<ds:datastoreItem xmlns:ds="http://schemas.openxmlformats.org/officeDocument/2006/customXml" ds:itemID="{C1A18682-79BD-48F4-95AC-9ED16581AF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29BCE0-7D27-4457-90C4-C4BF0ABB7149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1801</Words>
  <Characters>10267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2024-06-20T09:40:00Z</dcterms:created>
  <dcterms:modified xsi:type="dcterms:W3CDTF">2024-06-21T12:21:00Z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</Properties>
</file>